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i w:val="false"/>
          <w:iCs w:val="false"/>
          <w:color w:val="2F5D8C"/>
          <w:sz w:val="15"/>
          <w:szCs w:val="15"/>
        </w:rPr>
        <w:t xml:space="preserve">MODEL COMPARISON  /  INSTRUMENT DESIGN</w:t>
      </w:r>
    </w:p>
    <w:p>
      <w:pPr>
        <w:spacing w:after="100"/>
      </w:pPr>
      <w:r>
        <w:rPr>
          <w:rFonts w:ascii="Calibri" w:cs="Calibri" w:eastAsia="Calibri" w:hAnsi="Calibri"/>
          <w:b/>
          <w:bCs/>
          <w:i w:val="false"/>
          <w:iCs w:val="false"/>
          <w:color w:val="1A1D22"/>
          <w:sz w:val="40"/>
          <w:szCs w:val="40"/>
        </w:rPr>
        <w:t xml:space="preserve">Four models, one back-to-school driver brief</w:t>
      </w:r>
    </w:p>
    <w:p>
      <w:pPr>
        <w:spacing w:after="80"/>
      </w:pPr>
      <w:r>
        <w:rPr>
          <w:rFonts w:ascii="Cambria" w:cs="Cambria" w:eastAsia="Cambria" w:hAnsi="Cambria"/>
          <w:b w:val="false"/>
          <w:bCs w:val="false"/>
          <w:i w:val="false"/>
          <w:iCs w:val="false"/>
          <w:color w:val="4A515B"/>
          <w:sz w:val="20"/>
          <w:szCs w:val="20"/>
        </w:rPr>
        <w:t xml:space="preserve">The same prompt went to four models: a 15-minute survey on what drives parents to choose premium or national brands over private label for K-12 back-to-school supplies, built to support factor analysis and regression. This compares what each one actually delivered.</w:t>
      </w:r>
    </w:p>
    <w:p>
      <w:pPr>
        <w:spacing w:after="240"/>
      </w:pPr>
      <w:r>
        <w:rPr>
          <w:rFonts w:ascii="Calibri" w:cs="Calibri" w:eastAsia="Calibri" w:hAnsi="Calibri"/>
          <w:b w:val="false"/>
          <w:bCs w:val="false"/>
          <w:i/>
          <w:iCs/>
          <w:color w:val="4A515B"/>
          <w:sz w:val="16"/>
          <w:szCs w:val="16"/>
        </w:rPr>
        <w:t xml:space="preserve">Ordered by construct count, fewest to most.   Source: four conversation exports, September 14 to 15, 2026.</w:t>
      </w:r>
    </w:p>
    <w:p>
      <w:pPr>
        <w:pStyle w:val="Heading1"/>
        <w:spacing w:after="120" w:before="320"/>
      </w:pPr>
      <w:r>
        <w:rPr>
          <w:rFonts w:ascii="Calibri" w:cs="Calibri" w:eastAsia="Calibri" w:hAnsi="Calibri"/>
          <w:b/>
          <w:bCs/>
          <w:i w:val="false"/>
          <w:iCs w:val="false"/>
          <w:color w:val="2F5D8C"/>
          <w:sz w:val="26"/>
          <w:szCs w:val="26"/>
        </w:rPr>
        <w:t xml:space="preserve">1.  At a glance</w:t>
      </w:r>
    </w:p>
    <w:p>
      <w:pPr>
        <w:spacing w:after="160"/>
      </w:pPr>
      <w:r>
        <w:rPr>
          <w:rFonts w:ascii="Cambria" w:cs="Cambria" w:eastAsia="Cambria" w:hAnsi="Cambria"/>
          <w:b w:val="false"/>
          <w:bCs w:val="false"/>
          <w:i w:val="false"/>
          <w:iCs w:val="false"/>
          <w:color w:val="4A515B"/>
          <w:sz w:val="19"/>
          <w:szCs w:val="19"/>
        </w:rPr>
        <w:t xml:space="preserve">Every row is something the model stated in its own final version of the study. "Not addressed" means the model never raised it, which is itself a finding.</w:t>
      </w:r>
    </w:p>
    <w:tbl>
      <w:tblPr>
        <w:tblW w:type="dxa" w:w="14112"/>
        <w:tblBorders>
          <w:top w:val="single" w:color="C9D1DA" w:sz="4"/>
          <w:left w:val="single" w:color="C9D1DA" w:sz="4"/>
          <w:bottom w:val="single" w:color="C9D1DA" w:sz="4"/>
          <w:right w:val="single" w:color="C9D1DA" w:sz="4"/>
          <w:insideH w:val="single" w:color="auto" w:sz="4"/>
          <w:insideV w:val="single" w:color="auto" w:sz="4"/>
        </w:tblBorders>
      </w:tblPr>
      <w:tblGrid>
        <w:gridCol w:w="2900"/>
        <w:gridCol w:w="2803"/>
        <w:gridCol w:w="2803"/>
        <w:gridCol w:w="2803"/>
        <w:gridCol w:w="2803"/>
      </w:tblGrid>
      <w:tr>
        <w:trPr>
          <w:cantSplit/>
          <w:tblHeader/>
        </w:trPr>
        <w:tc>
          <w:tcPr>
            <w:tcW w:type="dxa" w:w="2900"/>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
            </w:r>
          </w:p>
        </w:tc>
        <w:tc>
          <w:tcPr>
            <w:tcW w:type="dxa" w:w="2803"/>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Gemini Pro</w:t>
            </w:r>
          </w:p>
        </w:tc>
        <w:tc>
          <w:tcPr>
            <w:tcW w:type="dxa" w:w="2803"/>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Copilot</w:t>
            </w:r>
          </w:p>
        </w:tc>
        <w:tc>
          <w:tcPr>
            <w:tcW w:type="dxa" w:w="2803"/>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Luna Medium</w:t>
            </w:r>
          </w:p>
        </w:tc>
        <w:tc>
          <w:tcPr>
            <w:tcW w:type="dxa" w:w="2803"/>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Opus 5</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Constructs in final battery</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5</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12</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15</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17</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Attitudinal items</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20</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48</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60</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30"/>
              <w:jc w:val="left"/>
            </w:pPr>
            <w:r>
              <w:rPr>
                <w:rFonts w:ascii="Calibri" w:cs="Calibri" w:eastAsia="Calibri" w:hAnsi="Calibri"/>
                <w:b w:val="false"/>
                <w:bCs w:val="false"/>
                <w:i w:val="false"/>
                <w:iCs w:val="false"/>
                <w:color w:val="1A1D22"/>
                <w:sz w:val="15"/>
                <w:szCs w:val="15"/>
              </w:rPr>
              <w:t xml:space="preserve">58</w:t>
            </w:r>
          </w:p>
          <w:p>
            <w:pPr>
              <w:spacing w:after="0"/>
              <w:jc w:val="left"/>
            </w:pPr>
            <w:r>
              <w:rPr>
                <w:rFonts w:ascii="Calibri" w:cs="Calibri" w:eastAsia="Calibri" w:hAnsi="Calibri"/>
                <w:b w:val="false"/>
                <w:bCs w:val="false"/>
                <w:i/>
                <w:iCs/>
                <w:color w:val="4A515B"/>
                <w:sz w:val="13"/>
                <w:szCs w:val="13"/>
              </w:rPr>
              <w:t xml:space="preserve">stated; 57 by item count, 60 in its own LOI table</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Items per construct</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4, uniform</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4, uniform</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4, uniform</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30"/>
              <w:jc w:val="left"/>
            </w:pPr>
            <w:r>
              <w:rPr>
                <w:rFonts w:ascii="Calibri" w:cs="Calibri" w:eastAsia="Calibri" w:hAnsi="Calibri"/>
                <w:b w:val="false"/>
                <w:bCs w:val="false"/>
                <w:i w:val="false"/>
                <w:iCs w:val="false"/>
                <w:color w:val="1A1D22"/>
                <w:sz w:val="15"/>
                <w:szCs w:val="15"/>
              </w:rPr>
              <w:t xml:space="preserve">3 to 5, varied</w:t>
            </w:r>
          </w:p>
          <w:p>
            <w:pPr>
              <w:spacing w:after="0"/>
              <w:jc w:val="left"/>
            </w:pPr>
            <w:r>
              <w:rPr>
                <w:rFonts w:ascii="Calibri" w:cs="Calibri" w:eastAsia="Calibri" w:hAnsi="Calibri"/>
                <w:b w:val="false"/>
                <w:bCs w:val="false"/>
                <w:i/>
                <w:iCs/>
                <w:color w:val="4A515B"/>
                <w:sz w:val="13"/>
                <w:szCs w:val="13"/>
              </w:rPr>
              <w:t xml:space="preserve">weighted toward the constructs it expects to drive</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Drivers first suggested</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30"/>
              <w:jc w:val="left"/>
            </w:pPr>
            <w:r>
              <w:rPr>
                <w:rFonts w:ascii="Calibri" w:cs="Calibri" w:eastAsia="Calibri" w:hAnsi="Calibri"/>
                <w:b w:val="false"/>
                <w:bCs w:val="false"/>
                <w:i w:val="false"/>
                <w:iCs w:val="false"/>
                <w:color w:val="1A1D22"/>
                <w:sz w:val="15"/>
                <w:szCs w:val="15"/>
              </w:rPr>
              <w:t xml:space="preserve">14</w:t>
            </w:r>
          </w:p>
          <w:p>
            <w:pPr>
              <w:spacing w:after="0"/>
              <w:jc w:val="left"/>
            </w:pPr>
            <w:r>
              <w:rPr>
                <w:rFonts w:ascii="Calibri" w:cs="Calibri" w:eastAsia="Calibri" w:hAnsi="Calibri"/>
                <w:b w:val="false"/>
                <w:bCs w:val="false"/>
                <w:i/>
                <w:iCs/>
                <w:color w:val="4A515B"/>
                <w:sz w:val="13"/>
                <w:szCs w:val="13"/>
              </w:rPr>
              <w:t xml:space="preserve">9, then 5 more at the brand pivot</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19</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22</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30"/>
              <w:jc w:val="left"/>
            </w:pPr>
            <w:r>
              <w:rPr>
                <w:rFonts w:ascii="Calibri" w:cs="Calibri" w:eastAsia="Calibri" w:hAnsi="Calibri"/>
                <w:b w:val="false"/>
                <w:bCs w:val="false"/>
                <w:i w:val="false"/>
                <w:iCs w:val="false"/>
                <w:color w:val="1A1D22"/>
                <w:sz w:val="15"/>
                <w:szCs w:val="15"/>
              </w:rPr>
              <w:t xml:space="preserve">About 37</w:t>
            </w:r>
          </w:p>
          <w:p>
            <w:pPr>
              <w:spacing w:after="0"/>
              <w:jc w:val="left"/>
            </w:pPr>
            <w:r>
              <w:rPr>
                <w:rFonts w:ascii="Calibri" w:cs="Calibri" w:eastAsia="Calibri" w:hAnsi="Calibri"/>
                <w:b w:val="false"/>
                <w:bCs w:val="false"/>
                <w:i/>
                <w:iCs/>
                <w:color w:val="4A515B"/>
                <w:sz w:val="13"/>
                <w:szCs w:val="13"/>
              </w:rPr>
              <w:t xml:space="preserve">facets across 9 domains, never a numbered list</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Attrition, suggested to final</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14 to 5</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19 to 14 to 12</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22 to 15</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37 to 17</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Scale</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7-point agreement</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7-point agreement</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7-point agreement</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30"/>
              <w:jc w:val="left"/>
            </w:pPr>
            <w:r>
              <w:rPr>
                <w:rFonts w:ascii="Calibri" w:cs="Calibri" w:eastAsia="Calibri" w:hAnsi="Calibri"/>
                <w:b w:val="false"/>
                <w:bCs w:val="false"/>
                <w:i w:val="false"/>
                <w:iCs w:val="false"/>
                <w:color w:val="1A1D22"/>
                <w:sz w:val="15"/>
                <w:szCs w:val="15"/>
              </w:rPr>
              <w:t xml:space="preserve">7-point agreement</w:t>
            </w:r>
          </w:p>
          <w:p>
            <w:pPr>
              <w:spacing w:after="0"/>
              <w:jc w:val="left"/>
            </w:pPr>
            <w:r>
              <w:rPr>
                <w:rFonts w:ascii="Calibri" w:cs="Calibri" w:eastAsia="Calibri" w:hAnsi="Calibri"/>
                <w:b w:val="false"/>
                <w:bCs w:val="false"/>
                <w:i/>
                <w:iCs/>
                <w:color w:val="4A515B"/>
                <w:sz w:val="13"/>
                <w:szCs w:val="13"/>
              </w:rPr>
              <w:t xml:space="preserve">one polarity, randomized across 4 screens</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Reverse-coded items</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30"/>
              <w:jc w:val="left"/>
            </w:pPr>
            <w:r>
              <w:rPr>
                <w:rFonts w:ascii="Calibri" w:cs="Calibri" w:eastAsia="Calibri" w:hAnsi="Calibri"/>
                <w:b w:val="false"/>
                <w:bCs w:val="false"/>
                <w:i w:val="false"/>
                <w:iCs w:val="false"/>
                <w:color w:val="1A1D22"/>
                <w:sz w:val="15"/>
                <w:szCs w:val="15"/>
              </w:rPr>
              <w:t xml:space="preserve">1</w:t>
            </w:r>
          </w:p>
          <w:p>
            <w:pPr>
              <w:spacing w:after="0"/>
              <w:jc w:val="left"/>
            </w:pPr>
            <w:r>
              <w:rPr>
                <w:rFonts w:ascii="Calibri" w:cs="Calibri" w:eastAsia="Calibri" w:hAnsi="Calibri"/>
                <w:b w:val="false"/>
                <w:bCs w:val="false"/>
                <w:i/>
                <w:iCs/>
                <w:color w:val="4A515B"/>
                <w:sz w:val="13"/>
                <w:szCs w:val="13"/>
              </w:rPr>
              <w:t xml:space="preserve">BQB5r</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Dependent variable</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Single 4-row grid, store brand to name brand, 1 to 7</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5-item agreement battery, 7-point</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8-item likelihood index, 1 to 7; 7 averaged plus 1 secondary</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8 category choices on a 5-point scale, summed to a continuous 8 to 40 composite</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DV validity check</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addressed</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addressed</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addressed</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Yes. A 0 to 10 overall item as a convergent check, flagged if r is below .60</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Willingness to pay</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addressed</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addressed</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Banded percentage premium, plus likelihood at 10, 20 and 30 percent</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Dollar denominated, anchored on a real $3.00 price</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Quality control in the instrument</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30"/>
              <w:jc w:val="left"/>
            </w:pPr>
            <w:r>
              <w:rPr>
                <w:rFonts w:ascii="Calibri" w:cs="Calibri" w:eastAsia="Calibri" w:hAnsi="Calibri"/>
                <w:b w:val="false"/>
                <w:bCs w:val="false"/>
                <w:i w:val="false"/>
                <w:iCs w:val="false"/>
                <w:color w:val="1A1D22"/>
                <w:sz w:val="15"/>
                <w:szCs w:val="15"/>
              </w:rPr>
              <w:t xml:space="preserve">None</w:t>
            </w:r>
          </w:p>
          <w:p>
            <w:pPr>
              <w:spacing w:after="0"/>
              <w:jc w:val="left"/>
            </w:pPr>
            <w:r>
              <w:rPr>
                <w:rFonts w:ascii="Calibri" w:cs="Calibri" w:eastAsia="Calibri" w:hAnsi="Calibri"/>
                <w:b w:val="false"/>
                <w:bCs w:val="false"/>
                <w:i/>
                <w:iCs/>
                <w:color w:val="4A515B"/>
                <w:sz w:val="13"/>
                <w:szCs w:val="13"/>
              </w:rPr>
              <w:t xml:space="preserve">cleaning named in the analysis plan only</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1 attention check plus a fictitious brand in the recognition list</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2 embedded QC items plus a fictitious brand; instructed response and a logic trap</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Security screen</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Yes. Terminates market research, advertising, retail buying, supply manufacturing</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Sample size</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stated</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300 minimum, 500 to 800 preferred</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400 minimum including 250 parents, 500 to 600 target</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580 minimum, 800 recommended, 1,200 for split models</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Quotas</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Census on region and income, grade band thirds, soft gender quota against an 80 percent mom sample</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Demographic questions</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2</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8</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About 10</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9, plus an optional free lunch indicator</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Estimated LOI</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10 to 15 min</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12 to 15 min</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30"/>
              <w:jc w:val="left"/>
            </w:pPr>
            <w:r>
              <w:rPr>
                <w:rFonts w:ascii="Calibri" w:cs="Calibri" w:eastAsia="Calibri" w:hAnsi="Calibri"/>
                <w:b w:val="false"/>
                <w:bCs w:val="false"/>
                <w:i w:val="false"/>
                <w:iCs w:val="false"/>
                <w:color w:val="1A1D22"/>
                <w:sz w:val="15"/>
                <w:szCs w:val="15"/>
              </w:rPr>
              <w:t xml:space="preserve">15 min</w:t>
            </w:r>
          </w:p>
          <w:p>
            <w:pPr>
              <w:spacing w:after="0"/>
              <w:jc w:val="left"/>
            </w:pPr>
            <w:r>
              <w:rPr>
                <w:rFonts w:ascii="Calibri" w:cs="Calibri" w:eastAsia="Calibri" w:hAnsi="Calibri"/>
                <w:b w:val="false"/>
                <w:bCs w:val="false"/>
                <w:i/>
                <w:iCs/>
                <w:color w:val="4A515B"/>
                <w:sz w:val="13"/>
                <w:szCs w:val="13"/>
              </w:rPr>
              <w:t xml:space="preserve">section split given early, not restated in the final</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30"/>
              <w:jc w:val="left"/>
            </w:pPr>
            <w:r>
              <w:rPr>
                <w:rFonts w:ascii="Calibri" w:cs="Calibri" w:eastAsia="Calibri" w:hAnsi="Calibri"/>
                <w:b w:val="false"/>
                <w:bCs w:val="false"/>
                <w:i w:val="false"/>
                <w:iCs w:val="false"/>
                <w:color w:val="1A1D22"/>
                <w:sz w:val="15"/>
                <w:szCs w:val="15"/>
              </w:rPr>
              <w:t xml:space="preserve">14.0 min</w:t>
            </w:r>
          </w:p>
          <w:p>
            <w:pPr>
              <w:spacing w:after="0"/>
              <w:jc w:val="left"/>
            </w:pPr>
            <w:r>
              <w:rPr>
                <w:rFonts w:ascii="Calibri" w:cs="Calibri" w:eastAsia="Calibri" w:hAnsi="Calibri"/>
                <w:b w:val="false"/>
                <w:bCs w:val="false"/>
                <w:i/>
                <w:iCs/>
                <w:color w:val="4A515B"/>
                <w:sz w:val="13"/>
                <w:szCs w:val="13"/>
              </w:rPr>
              <w:t xml:space="preserve">section table with cut priority</w:t>
            </w:r>
          </w:p>
        </w:tc>
      </w:tr>
    </w:tbl>
    <w:p>
      <w:pPr>
        <w:pageBreakBefore/>
      </w:pPr>
      <w:r>
        <w:rPr>
          <w:rFonts w:ascii="Calibri" w:cs="Calibri" w:eastAsia="Calibri" w:hAnsi="Calibri"/>
          <w:b w:val="false"/>
          <w:bCs w:val="false"/>
          <w:i w:val="false"/>
          <w:iCs w:val="false"/>
          <w:color w:val="1A1D22"/>
          <w:sz w:val="17"/>
          <w:szCs w:val="17"/>
        </w:rPr>
        <w:t xml:space="preserve"/>
      </w:r>
    </w:p>
    <w:p>
      <w:pPr>
        <w:pStyle w:val="Heading1"/>
        <w:spacing w:after="120" w:before="320"/>
      </w:pPr>
      <w:r>
        <w:rPr>
          <w:rFonts w:ascii="Calibri" w:cs="Calibri" w:eastAsia="Calibri" w:hAnsi="Calibri"/>
          <w:b/>
          <w:bCs/>
          <w:i w:val="false"/>
          <w:iCs w:val="false"/>
          <w:color w:val="2F5D8C"/>
          <w:sz w:val="26"/>
          <w:szCs w:val="26"/>
        </w:rPr>
        <w:t xml:space="preserve">2.  Constructs and items, model by model</w:t>
      </w:r>
    </w:p>
    <w:p>
      <w:pPr>
        <w:spacing w:after="160"/>
      </w:pPr>
      <w:r>
        <w:rPr>
          <w:rFonts w:ascii="Cambria" w:cs="Cambria" w:eastAsia="Cambria" w:hAnsi="Cambria"/>
          <w:b w:val="false"/>
          <w:bCs w:val="false"/>
          <w:i w:val="false"/>
          <w:iCs w:val="false"/>
          <w:color w:val="4A515B"/>
          <w:sz w:val="19"/>
          <w:szCs w:val="19"/>
        </w:rPr>
        <w:t xml:space="preserve">Three of the four gave every construct exactly four items. Only Opus 5 varied the item count by construct, spending five items on brand quality beliefs and three on the constructs it predicted would drop out.</w:t>
      </w:r>
    </w:p>
    <w:tbl>
      <w:tblPr>
        <w:tblW w:type="dxa" w:w="14112"/>
        <w:tblBorders>
          <w:top w:val="single" w:color="C9D1DA" w:sz="4"/>
          <w:left w:val="single" w:color="C9D1DA" w:sz="4"/>
          <w:bottom w:val="single" w:color="C9D1DA" w:sz="4"/>
          <w:right w:val="single" w:color="C9D1DA" w:sz="4"/>
          <w:insideH w:val="single" w:color="auto" w:sz="4"/>
          <w:insideV w:val="single" w:color="auto" w:sz="4"/>
        </w:tblBorders>
      </w:tblPr>
      <w:tblGrid>
        <w:gridCol w:w="3000"/>
        <w:gridCol w:w="528"/>
        <w:gridCol w:w="3000"/>
        <w:gridCol w:w="528"/>
        <w:gridCol w:w="3000"/>
        <w:gridCol w:w="528"/>
        <w:gridCol w:w="3000"/>
        <w:gridCol w:w="528"/>
      </w:tblGrid>
      <w:tr>
        <w:trPr>
          <w:cantSplit/>
          <w:tblHeader/>
        </w:trPr>
        <w:tc>
          <w:tcPr>
            <w:tcW w:type="dxa" w:w="3528"/>
            <w:gridSpan w:val="2"/>
            <w:tcBorders>
              <w:top w:val="single" w:color="C9D1DA" w:sz="4"/>
              <w:left w:val="single" w:color="C9D1DA" w:sz="4"/>
              <w:bottom w:val="single" w:color="C9D1DA" w:sz="4"/>
              <w:right w:val="single" w:color="C9D1DA" w:sz="4"/>
            </w:tcBorders>
            <w:shd w:fill="8A5E18" w:color="auto" w:val="clear"/>
            <w:tcMar>
              <w:top w:type="dxa" w:w="42"/>
              <w:left w:type="dxa" w:w="85"/>
              <w:bottom w:type="dxa" w:w="42"/>
              <w:right w:type="dxa" w:w="85"/>
            </w:tcMar>
            <w:vAlign w:val="top"/>
          </w:tcPr>
          <w:p>
            <w:pPr>
              <w:spacing w:after="40" w:before="0"/>
              <w:jc w:val="left"/>
            </w:pPr>
            <w:r>
              <w:rPr>
                <w:rFonts w:ascii="Calibri" w:cs="Calibri" w:eastAsia="Calibri" w:hAnsi="Calibri"/>
                <w:b/>
                <w:bCs/>
                <w:i w:val="false"/>
                <w:iCs w:val="false"/>
                <w:color w:val="FFFFFF"/>
                <w:sz w:val="17"/>
                <w:szCs w:val="17"/>
              </w:rPr>
              <w:t xml:space="preserve">Gemini Pro</w:t>
            </w:r>
          </w:p>
        </w:tc>
        <w:tc>
          <w:tcPr>
            <w:tcW w:type="dxa" w:w="3528"/>
            <w:gridSpan w:val="2"/>
            <w:tcBorders>
              <w:top w:val="single" w:color="C9D1DA" w:sz="4"/>
              <w:left w:val="single" w:color="C9D1DA" w:sz="4"/>
              <w:bottom w:val="single" w:color="C9D1DA" w:sz="4"/>
              <w:right w:val="single" w:color="C9D1DA" w:sz="4"/>
            </w:tcBorders>
            <w:shd w:fill="1F6159" w:color="auto" w:val="clear"/>
            <w:tcMar>
              <w:top w:type="dxa" w:w="42"/>
              <w:left w:type="dxa" w:w="85"/>
              <w:bottom w:type="dxa" w:w="42"/>
              <w:right w:type="dxa" w:w="85"/>
            </w:tcMar>
            <w:vAlign w:val="top"/>
          </w:tcPr>
          <w:p>
            <w:pPr>
              <w:spacing w:after="40" w:before="0"/>
              <w:jc w:val="left"/>
            </w:pPr>
            <w:r>
              <w:rPr>
                <w:rFonts w:ascii="Calibri" w:cs="Calibri" w:eastAsia="Calibri" w:hAnsi="Calibri"/>
                <w:b/>
                <w:bCs/>
                <w:i w:val="false"/>
                <w:iCs w:val="false"/>
                <w:color w:val="FFFFFF"/>
                <w:sz w:val="17"/>
                <w:szCs w:val="17"/>
              </w:rPr>
              <w:t xml:space="preserve">Copilot</w:t>
            </w:r>
          </w:p>
        </w:tc>
        <w:tc>
          <w:tcPr>
            <w:tcW w:type="dxa" w:w="3528"/>
            <w:gridSpan w:val="2"/>
            <w:tcBorders>
              <w:top w:val="single" w:color="C9D1DA" w:sz="4"/>
              <w:left w:val="single" w:color="C9D1DA" w:sz="4"/>
              <w:bottom w:val="single" w:color="C9D1DA" w:sz="4"/>
              <w:right w:val="single" w:color="C9D1DA" w:sz="4"/>
            </w:tcBorders>
            <w:shd w:fill="5A4B7D" w:color="auto" w:val="clear"/>
            <w:tcMar>
              <w:top w:type="dxa" w:w="42"/>
              <w:left w:type="dxa" w:w="85"/>
              <w:bottom w:type="dxa" w:w="42"/>
              <w:right w:type="dxa" w:w="85"/>
            </w:tcMar>
            <w:vAlign w:val="top"/>
          </w:tcPr>
          <w:p>
            <w:pPr>
              <w:spacing w:after="40" w:before="0"/>
              <w:jc w:val="left"/>
            </w:pPr>
            <w:r>
              <w:rPr>
                <w:rFonts w:ascii="Calibri" w:cs="Calibri" w:eastAsia="Calibri" w:hAnsi="Calibri"/>
                <w:b/>
                <w:bCs/>
                <w:i w:val="false"/>
                <w:iCs w:val="false"/>
                <w:color w:val="FFFFFF"/>
                <w:sz w:val="17"/>
                <w:szCs w:val="17"/>
              </w:rPr>
              <w:t xml:space="preserve">Luna Medium</w:t>
            </w:r>
          </w:p>
        </w:tc>
        <w:tc>
          <w:tcPr>
            <w:tcW w:type="dxa" w:w="3528"/>
            <w:gridSpan w:val="2"/>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40" w:before="0"/>
              <w:jc w:val="left"/>
            </w:pPr>
            <w:r>
              <w:rPr>
                <w:rFonts w:ascii="Calibri" w:cs="Calibri" w:eastAsia="Calibri" w:hAnsi="Calibri"/>
                <w:b/>
                <w:bCs/>
                <w:i w:val="false"/>
                <w:iCs w:val="false"/>
                <w:color w:val="FFFFFF"/>
                <w:sz w:val="17"/>
                <w:szCs w:val="17"/>
              </w:rPr>
              <w:t xml:space="preserve">Opus 5</w:t>
            </w:r>
          </w:p>
        </w:tc>
      </w:tr>
      <w:tr>
        <w:trPr>
          <w:cantSplit/>
          <w:tblHeader/>
        </w:trPr>
        <w:tc>
          <w:tcPr>
            <w:tcW w:type="dxa" w:w="30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4"/>
                <w:szCs w:val="14"/>
              </w:rPr>
              <w:t xml:space="preserve">Construct</w:t>
            </w:r>
          </w:p>
        </w:tc>
        <w:tc>
          <w:tcPr>
            <w:tcW w:type="dxa" w:w="528"/>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4"/>
                <w:szCs w:val="14"/>
              </w:rPr>
              <w:t xml:space="preserve">Items</w:t>
            </w:r>
          </w:p>
        </w:tc>
        <w:tc>
          <w:tcPr>
            <w:tcW w:type="dxa" w:w="30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4"/>
                <w:szCs w:val="14"/>
              </w:rPr>
              <w:t xml:space="preserve">Construct</w:t>
            </w:r>
          </w:p>
        </w:tc>
        <w:tc>
          <w:tcPr>
            <w:tcW w:type="dxa" w:w="528"/>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4"/>
                <w:szCs w:val="14"/>
              </w:rPr>
              <w:t xml:space="preserve">Items</w:t>
            </w:r>
          </w:p>
        </w:tc>
        <w:tc>
          <w:tcPr>
            <w:tcW w:type="dxa" w:w="30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4"/>
                <w:szCs w:val="14"/>
              </w:rPr>
              <w:t xml:space="preserve">Construct</w:t>
            </w:r>
          </w:p>
        </w:tc>
        <w:tc>
          <w:tcPr>
            <w:tcW w:type="dxa" w:w="528"/>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4"/>
                <w:szCs w:val="14"/>
              </w:rPr>
              <w:t xml:space="preserve">Items</w:t>
            </w:r>
          </w:p>
        </w:tc>
        <w:tc>
          <w:tcPr>
            <w:tcW w:type="dxa" w:w="30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4"/>
                <w:szCs w:val="14"/>
              </w:rPr>
              <w:t xml:space="preserve">Construct</w:t>
            </w:r>
          </w:p>
        </w:tc>
        <w:tc>
          <w:tcPr>
            <w:tcW w:type="dxa" w:w="528"/>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4"/>
                <w:szCs w:val="14"/>
              </w:rPr>
              <w:t xml:space="preserve">Items</w:t>
            </w:r>
          </w:p>
        </w:tc>
      </w:tr>
      <w:tr>
        <w:trPr>
          <w:cantSplit/>
        </w:trPr>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Excitement and anticipation</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Back-to-school excitement</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Excitement</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EXC  Back-to-school excitement</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3</w:t>
            </w:r>
          </w:p>
        </w:tc>
      </w:tr>
      <w:tr>
        <w:trPr>
          <w:cantSplit/>
        </w:trPr>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Self-expression and identity</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Child enthusiasm</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Anticipation and preparation</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ENJ  Supply enjoyment</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3</w:t>
            </w:r>
          </w:p>
        </w:tc>
      </w:tr>
      <w:tr>
        <w:trPr>
          <w:cantSplit/>
        </w:trPr>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Social risk, the fitting-in factor</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Brand trust</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Enjoyment of school and office supplies</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STR  Financial strain</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3</w:t>
            </w:r>
          </w:p>
        </w:tc>
      </w:tr>
      <w:tr>
        <w:trPr>
          <w:cantSplit/>
        </w:trPr>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Functional risk and reliability</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Perceived quality advantage</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Perceived quality and durability</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FRC  Shopping friction</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3</w:t>
            </w:r>
          </w:p>
        </w:tc>
      </w:tr>
      <w:tr>
        <w:trPr>
          <w:cantSplit/>
        </w:trPr>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Price sensitivity and economics</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Academic investment mindset</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Functional risk</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OBL  List compliance and preparedness</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r>
      <w:tr>
        <w:trPr>
          <w:cantSplit/>
        </w:trPr>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Value orientation</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Brand familiarity and recognition</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CHI  Child influence</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r>
      <w:tr>
        <w:trPr>
          <w:cantSplit/>
        </w:trPr>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Price sensitivity</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Brand trust</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BEL  Peer belonging</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3</w:t>
            </w:r>
          </w:p>
        </w:tc>
      </w:tr>
      <w:tr>
        <w:trPr>
          <w:cantSplit/>
        </w:trPr>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Risk avoidance</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Perceived value</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PRD  Pride and fresh start</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3</w:t>
            </w:r>
          </w:p>
        </w:tc>
      </w:tr>
      <w:tr>
        <w:trPr>
          <w:cantSplit/>
        </w:trPr>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Habitual brand purchasing</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Price sensitivity and budget pressure</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AES  Aesthetics and expression</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3</w:t>
            </w:r>
          </w:p>
        </w:tc>
      </w:tr>
      <w:tr>
        <w:trPr>
          <w:cantSplit/>
        </w:trPr>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School influence</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Promotions and discounts</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TRD  Trend and social exposure</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3</w:t>
            </w:r>
          </w:p>
        </w:tc>
      </w:tr>
      <w:tr>
        <w:trPr>
          <w:cantSplit/>
        </w:trPr>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Child influence</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Product importance and school requirements</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PRC  Price sensitivity</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r>
      <w:tr>
        <w:trPr>
          <w:cantSplit/>
        </w:trPr>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Organization mindset</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Child or student influence</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DEAL  Deal proneness</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3</w:t>
            </w:r>
          </w:p>
        </w:tc>
      </w:tr>
      <w:tr>
        <w:trPr>
          <w:cantSplit/>
        </w:trPr>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Social influence and self-expression</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BUD  Budget constraint</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3</w:t>
            </w:r>
          </w:p>
        </w:tc>
      </w:tr>
      <w:tr>
        <w:trPr>
          <w:cantSplit/>
        </w:trPr>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Sustainability</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DUR  Durability and value</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r>
      <w:tr>
        <w:trPr>
          <w:cantSplit/>
        </w:trPr>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Convenience and availability</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w:t>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BQB  Brand quality beliefs</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5</w:t>
            </w:r>
          </w:p>
        </w:tc>
      </w:tr>
      <w:tr>
        <w:trPr>
          <w:cantSplit/>
        </w:trPr>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RET  Retailer loyalty and convenience</w:t>
            </w:r>
          </w:p>
        </w:tc>
        <w:tc>
          <w:tcPr>
            <w:tcW w:type="dxa" w:w="528"/>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3</w:t>
            </w:r>
          </w:p>
        </w:tc>
      </w:tr>
      <w:tr>
        <w:trPr>
          <w:cantSplit/>
        </w:trPr>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1A1D22"/>
                <w:sz w:val="15"/>
                <w:szCs w:val="15"/>
              </w:rPr>
              <w:t xml:space="preserve"/>
            </w:r>
          </w:p>
        </w:tc>
        <w:tc>
          <w:tcPr>
            <w:tcW w:type="dxa" w:w="30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VAL  Values and sourcing</w:t>
            </w:r>
          </w:p>
        </w:tc>
        <w:tc>
          <w:tcPr>
            <w:tcW w:type="dxa" w:w="528"/>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3</w:t>
            </w:r>
          </w:p>
        </w:tc>
      </w:tr>
      <w:tr>
        <w:trPr>
          <w:cantSplit/>
        </w:trPr>
        <w:tc>
          <w:tcPr>
            <w:tcW w:type="dxa" w:w="30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5"/>
                <w:szCs w:val="15"/>
              </w:rPr>
              <w:t xml:space="preserve">Total items</w:t>
            </w:r>
          </w:p>
        </w:tc>
        <w:tc>
          <w:tcPr>
            <w:tcW w:type="dxa" w:w="528"/>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20</w:t>
            </w:r>
          </w:p>
        </w:tc>
        <w:tc>
          <w:tcPr>
            <w:tcW w:type="dxa" w:w="30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5"/>
                <w:szCs w:val="15"/>
              </w:rPr>
              <w:t xml:space="preserve">Total items</w:t>
            </w:r>
          </w:p>
        </w:tc>
        <w:tc>
          <w:tcPr>
            <w:tcW w:type="dxa" w:w="528"/>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48</w:t>
            </w:r>
          </w:p>
        </w:tc>
        <w:tc>
          <w:tcPr>
            <w:tcW w:type="dxa" w:w="30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5"/>
                <w:szCs w:val="15"/>
              </w:rPr>
              <w:t xml:space="preserve">Total items</w:t>
            </w:r>
          </w:p>
        </w:tc>
        <w:tc>
          <w:tcPr>
            <w:tcW w:type="dxa" w:w="528"/>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60</w:t>
            </w:r>
          </w:p>
        </w:tc>
        <w:tc>
          <w:tcPr>
            <w:tcW w:type="dxa" w:w="30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5"/>
                <w:szCs w:val="15"/>
              </w:rPr>
              <w:t xml:space="preserve">Total items</w:t>
            </w:r>
          </w:p>
        </w:tc>
        <w:tc>
          <w:tcPr>
            <w:tcW w:type="dxa" w:w="528"/>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A1D22"/>
                <w:sz w:val="15"/>
                <w:szCs w:val="15"/>
              </w:rPr>
              <w:t xml:space="preserve">57</w:t>
            </w:r>
          </w:p>
        </w:tc>
      </w:tr>
    </w:tbl>
    <w:p>
      <w:pPr>
        <w:spacing w:before="140"/>
      </w:pPr>
      <w:r>
        <w:rPr>
          <w:rFonts w:ascii="Calibri" w:cs="Calibri" w:eastAsia="Calibri" w:hAnsi="Calibri"/>
          <w:b/>
          <w:bCs/>
          <w:i w:val="false"/>
          <w:iCs w:val="false"/>
          <w:color w:val="1A1D22"/>
          <w:sz w:val="16"/>
          <w:szCs w:val="16"/>
        </w:rPr>
        <w:t xml:space="preserve">Note. </w:t>
      </w:r>
      <w:r>
        <w:rPr>
          <w:rFonts w:ascii="Calibri" w:cs="Calibri" w:eastAsia="Calibri" w:hAnsi="Calibri"/>
          <w:b w:val="false"/>
          <w:bCs w:val="false"/>
          <w:i/>
          <w:iCs/>
          <w:color w:val="4A515B"/>
          <w:sz w:val="16"/>
          <w:szCs w:val="16"/>
        </w:rPr>
        <w:t xml:space="preserve">Opus 5 states a battery total of 58 items; its listed items total 57 and its own LOI table says 60. Its battery also carries 2 embedded quality control items that sit outside the construct count.</w:t>
      </w:r>
    </w:p>
    <w:p>
      <w:pPr>
        <w:pageBreakBefore/>
      </w:pPr>
      <w:r>
        <w:rPr>
          <w:rFonts w:ascii="Calibri" w:cs="Calibri" w:eastAsia="Calibri" w:hAnsi="Calibri"/>
          <w:b w:val="false"/>
          <w:bCs w:val="false"/>
          <w:i w:val="false"/>
          <w:iCs w:val="false"/>
          <w:color w:val="1A1D22"/>
          <w:sz w:val="17"/>
          <w:szCs w:val="17"/>
        </w:rPr>
        <w:t xml:space="preserve"/>
      </w:r>
    </w:p>
    <w:p>
      <w:pPr>
        <w:pStyle w:val="Heading1"/>
        <w:spacing w:after="120" w:before="320"/>
      </w:pPr>
      <w:r>
        <w:rPr>
          <w:rFonts w:ascii="Calibri" w:cs="Calibri" w:eastAsia="Calibri" w:hAnsi="Calibri"/>
          <w:b/>
          <w:bCs/>
          <w:i w:val="false"/>
          <w:iCs w:val="false"/>
          <w:color w:val="2F5D8C"/>
          <w:sz w:val="26"/>
          <w:szCs w:val="26"/>
        </w:rPr>
        <w:t xml:space="preserve">3.  Which driver themes each study covered</w:t>
      </w:r>
    </w:p>
    <w:p>
      <w:pPr>
        <w:spacing w:after="160"/>
      </w:pPr>
      <w:r>
        <w:rPr>
          <w:rFonts w:ascii="Cambria" w:cs="Cambria" w:eastAsia="Cambria" w:hAnsi="Cambria"/>
          <w:b w:val="false"/>
          <w:bCs w:val="false"/>
          <w:i w:val="false"/>
          <w:iCs w:val="false"/>
          <w:color w:val="4A515B"/>
          <w:sz w:val="19"/>
          <w:szCs w:val="19"/>
        </w:rPr>
        <w:t xml:space="preserve">The same 20 themes, scored against each final battery. "Partial" means the theme shows up inside another construct’s items rather than as a construct of its own, so it cannot be isolated in the factor solution.</w:t>
      </w:r>
    </w:p>
    <w:tbl>
      <w:tblPr>
        <w:tblW w:type="dxa" w:w="14112"/>
        <w:tblBorders>
          <w:top w:val="single" w:color="C9D1DA" w:sz="4"/>
          <w:left w:val="single" w:color="C9D1DA" w:sz="4"/>
          <w:bottom w:val="single" w:color="C9D1DA" w:sz="4"/>
          <w:right w:val="single" w:color="C9D1DA" w:sz="4"/>
          <w:insideH w:val="single" w:color="auto" w:sz="4"/>
          <w:insideV w:val="single" w:color="auto" w:sz="4"/>
        </w:tblBorders>
      </w:tblPr>
      <w:tblGrid>
        <w:gridCol w:w="4500"/>
        <w:gridCol w:w="2403"/>
        <w:gridCol w:w="2403"/>
        <w:gridCol w:w="2403"/>
        <w:gridCol w:w="2403"/>
      </w:tblGrid>
      <w:tr>
        <w:trPr>
          <w:cantSplit/>
          <w:tblHeader/>
        </w:trPr>
        <w:tc>
          <w:tcPr>
            <w:tcW w:type="dxa" w:w="4500"/>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Driver theme</w:t>
            </w:r>
          </w:p>
        </w:tc>
        <w:tc>
          <w:tcPr>
            <w:tcW w:type="dxa" w:w="2403"/>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FFFFFF"/>
                <w:sz w:val="16"/>
                <w:szCs w:val="16"/>
              </w:rPr>
              <w:t xml:space="preserve">Gemini Pro</w:t>
            </w:r>
          </w:p>
        </w:tc>
        <w:tc>
          <w:tcPr>
            <w:tcW w:type="dxa" w:w="2403"/>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FFFFFF"/>
                <w:sz w:val="16"/>
                <w:szCs w:val="16"/>
              </w:rPr>
              <w:t xml:space="preserve">Copilot</w:t>
            </w:r>
          </w:p>
        </w:tc>
        <w:tc>
          <w:tcPr>
            <w:tcW w:type="dxa" w:w="2403"/>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FFFFFF"/>
                <w:sz w:val="16"/>
                <w:szCs w:val="16"/>
              </w:rPr>
              <w:t xml:space="preserve">Luna Medium</w:t>
            </w:r>
          </w:p>
        </w:tc>
        <w:tc>
          <w:tcPr>
            <w:tcW w:type="dxa" w:w="2403"/>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FFFFFF"/>
                <w:sz w:val="16"/>
                <w:szCs w:val="16"/>
              </w:rPr>
              <w:t xml:space="preserve">Opus 5</w:t>
            </w:r>
          </w:p>
        </w:tc>
      </w:tr>
      <w:tr>
        <w:trPr>
          <w:cantSplit/>
        </w:trPr>
        <w:tc>
          <w:tcPr>
            <w:tcW w:type="dxa" w:w="45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Positive affect</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r>
        <w:trPr>
          <w:cantSplit/>
        </w:trPr>
        <w:tc>
          <w:tcPr>
            <w:tcW w:type="dxa" w:w="45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Negative affect, strain and friction</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r>
        <w:trPr>
          <w:cantSplit/>
        </w:trPr>
        <w:tc>
          <w:tcPr>
            <w:tcW w:type="dxa" w:w="45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Brand quality beliefs</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8A5E18"/>
                <w:sz w:val="15"/>
                <w:szCs w:val="15"/>
              </w:rPr>
              <w:t xml:space="preserve">Partial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r>
        <w:trPr>
          <w:cantSplit/>
        </w:trPr>
        <w:tc>
          <w:tcPr>
            <w:tcW w:type="dxa" w:w="45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Brand familiarity and recognition</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8A5E18"/>
                <w:sz w:val="15"/>
                <w:szCs w:val="15"/>
              </w:rPr>
              <w:t xml:space="preserve">Partial</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8A5E18"/>
                <w:sz w:val="15"/>
                <w:szCs w:val="15"/>
              </w:rPr>
              <w:t xml:space="preserve">Partial</w:t>
            </w:r>
          </w:p>
        </w:tc>
      </w:tr>
      <w:tr>
        <w:trPr>
          <w:cantSplit/>
        </w:trPr>
        <w:tc>
          <w:tcPr>
            <w:tcW w:type="dxa" w:w="45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Perceived value</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8A5E18"/>
                <w:sz w:val="15"/>
                <w:szCs w:val="15"/>
              </w:rPr>
              <w:t xml:space="preserve">Partial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r>
        <w:trPr>
          <w:cantSplit/>
        </w:trPr>
        <w:tc>
          <w:tcPr>
            <w:tcW w:type="dxa" w:w="45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Price sensitivity</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r>
        <w:trPr>
          <w:cantSplit/>
        </w:trPr>
        <w:tc>
          <w:tcPr>
            <w:tcW w:type="dxa" w:w="45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Deal proneness and promotions</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8A5E18"/>
                <w:sz w:val="15"/>
                <w:szCs w:val="15"/>
              </w:rPr>
              <w:t xml:space="preserve">Partial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r>
        <w:trPr>
          <w:cantSplit/>
        </w:trPr>
        <w:tc>
          <w:tcPr>
            <w:tcW w:type="dxa" w:w="45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Budget constraint</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8A5E18"/>
                <w:sz w:val="15"/>
                <w:szCs w:val="15"/>
              </w:rPr>
              <w:t xml:space="preserve">Partial</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8A5E18"/>
                <w:sz w:val="15"/>
                <w:szCs w:val="15"/>
              </w:rPr>
              <w:t xml:space="preserve">Partial</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r>
        <w:trPr>
          <w:cantSplit/>
        </w:trPr>
        <w:tc>
          <w:tcPr>
            <w:tcW w:type="dxa" w:w="45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Durability and functional risk</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r>
        <w:trPr>
          <w:cantSplit/>
        </w:trPr>
        <w:tc>
          <w:tcPr>
            <w:tcW w:type="dxa" w:w="45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School requirements and mandate</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r>
        <w:trPr>
          <w:cantSplit/>
        </w:trPr>
        <w:tc>
          <w:tcPr>
            <w:tcW w:type="dxa" w:w="45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Preparedness and organization</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8A5E18"/>
                <w:sz w:val="15"/>
                <w:szCs w:val="15"/>
              </w:rPr>
              <w:t xml:space="preserve">Partial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r>
        <w:trPr>
          <w:cantSplit/>
        </w:trPr>
        <w:tc>
          <w:tcPr>
            <w:tcW w:type="dxa" w:w="45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Child influence</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r>
        <w:trPr>
          <w:cantSplit/>
        </w:trPr>
        <w:tc>
          <w:tcPr>
            <w:tcW w:type="dxa" w:w="45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Peer belonging and social pressure</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r>
        <w:trPr>
          <w:cantSplit/>
        </w:trPr>
        <w:tc>
          <w:tcPr>
            <w:tcW w:type="dxa" w:w="45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Self-expression and aesthetics</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8A5E18"/>
                <w:sz w:val="15"/>
                <w:szCs w:val="15"/>
              </w:rPr>
              <w:t xml:space="preserve">Partial</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r>
        <w:trPr>
          <w:cantSplit/>
        </w:trPr>
        <w:tc>
          <w:tcPr>
            <w:tcW w:type="dxa" w:w="45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Trend and social media exposure</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r>
        <w:trPr>
          <w:cantSplit/>
        </w:trPr>
        <w:tc>
          <w:tcPr>
            <w:tcW w:type="dxa" w:w="45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Parental pride and fresh start</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8A5E18"/>
                <w:sz w:val="15"/>
                <w:szCs w:val="15"/>
              </w:rPr>
              <w:t xml:space="preserve">Partial</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r>
        <w:trPr>
          <w:cantSplit/>
        </w:trPr>
        <w:tc>
          <w:tcPr>
            <w:tcW w:type="dxa" w:w="45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Habit and repeat purchase</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r>
      <w:tr>
        <w:trPr>
          <w:cantSplit/>
        </w:trPr>
        <w:tc>
          <w:tcPr>
            <w:tcW w:type="dxa" w:w="45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Retailer loyalty</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8A5E18"/>
                <w:sz w:val="15"/>
                <w:szCs w:val="15"/>
              </w:rPr>
              <w:t xml:space="preserve">Partial</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r>
        <w:trPr>
          <w:cantSplit/>
        </w:trPr>
        <w:tc>
          <w:tcPr>
            <w:tcW w:type="dxa" w:w="45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Availability and in-stock</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8A5E18"/>
                <w:sz w:val="15"/>
                <w:szCs w:val="15"/>
              </w:rPr>
              <w:t xml:space="preserve">Partial</w:t>
            </w:r>
          </w:p>
        </w:tc>
      </w:tr>
      <w:tr>
        <w:trPr>
          <w:cantSplit/>
        </w:trPr>
        <w:tc>
          <w:tcPr>
            <w:tcW w:type="dxa" w:w="45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Sustainability and values</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val="false"/>
                <w:bCs w:val="false"/>
                <w:i w:val="false"/>
                <w:iCs w:val="false"/>
                <w:color w:val="9AA2AC"/>
                <w:sz w:val="15"/>
                <w:szCs w:val="15"/>
              </w:rPr>
              <w:t xml:space="preserve">not measured</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c>
          <w:tcPr>
            <w:tcW w:type="dxa" w:w="24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center"/>
            </w:pPr>
            <w:r>
              <w:rPr>
                <w:rFonts w:ascii="Calibri" w:cs="Calibri" w:eastAsia="Calibri" w:hAnsi="Calibri"/>
                <w:b/>
                <w:bCs/>
                <w:i w:val="false"/>
                <w:iCs w:val="false"/>
                <w:color w:val="1F6159"/>
                <w:sz w:val="15"/>
                <w:szCs w:val="15"/>
              </w:rPr>
              <w:t xml:space="preserve">Full</w:t>
            </w:r>
          </w:p>
        </w:tc>
      </w:tr>
    </w:tbl>
    <w:p>
      <w:pPr>
        <w:spacing w:before="160"/>
      </w:pPr>
    </w:p>
    <w:tbl>
      <w:tblPr>
        <w:tblW w:type="dxa" w:w="14112"/>
        <w:tblBorders>
          <w:top w:val="single" w:color="C9D1DA" w:sz="4"/>
          <w:left w:val="single" w:color="C9D1DA" w:sz="4"/>
          <w:bottom w:val="single" w:color="C9D1DA" w:sz="4"/>
          <w:right w:val="single" w:color="C9D1DA" w:sz="4"/>
          <w:insideH w:val="single" w:color="auto" w:sz="4"/>
          <w:insideV w:val="single" w:color="auto" w:sz="4"/>
        </w:tblBorders>
      </w:tblPr>
      <w:tblGrid>
        <w:gridCol w:w="14112"/>
      </w:tblGrid>
      <w:tr>
        <w:trPr>
          <w:cantSplit/>
        </w:trPr>
        <w:tc>
          <w:tcPr>
            <w:tcW w:type="dxa" w:w="14112"/>
            <w:tcBorders>
              <w:top w:val="single" w:color="DCC79A" w:sz="4"/>
              <w:left w:val="single" w:color="B8923F" w:sz="18"/>
              <w:bottom w:val="single" w:color="DCC79A" w:sz="4"/>
              <w:right w:val="single" w:color="DCC79A" w:sz="4"/>
            </w:tcBorders>
            <w:shd w:fill="FBF5E9" w:color="auto" w:val="clear"/>
            <w:tcMar>
              <w:top w:type="dxa" w:w="130"/>
              <w:left w:type="dxa" w:w="180"/>
              <w:bottom w:type="dxa" w:w="130"/>
              <w:right w:type="dxa" w:w="180"/>
            </w:tcMar>
          </w:tcPr>
          <w:p>
            <w:pPr>
              <w:spacing w:after="0"/>
            </w:pPr>
            <w:r>
              <w:rPr>
                <w:rFonts w:ascii="Cambria" w:cs="Cambria" w:eastAsia="Cambria" w:hAnsi="Cambria"/>
                <w:b/>
                <w:bCs/>
                <w:i w:val="false"/>
                <w:iCs w:val="false"/>
                <w:color w:val="1A1D22"/>
                <w:sz w:val="18"/>
                <w:szCs w:val="18"/>
              </w:rPr>
              <w:t xml:space="preserve">Two themes only one model touched. </w:t>
            </w:r>
            <w:r>
              <w:rPr>
                <w:rFonts w:ascii="Cambria" w:cs="Cambria" w:eastAsia="Cambria" w:hAnsi="Cambria"/>
                <w:b w:val="false"/>
                <w:bCs w:val="false"/>
                <w:i w:val="false"/>
                <w:iCs w:val="false"/>
                <w:color w:val="1A1D22"/>
                <w:sz w:val="18"/>
                <w:szCs w:val="18"/>
              </w:rPr>
              <w:t xml:space="preserve">Negative affect appears only in Opus 5, which argues that positive and negative emotion are not opposite ends of one scale and usually emerge as their own factor. Habit and repeat purchase appears only in Copilot. Everything else is covered by at least two of the four.</w:t>
            </w:r>
          </w:p>
        </w:tc>
      </w:tr>
    </w:tbl>
    <w:p>
      <w:pPr>
        <w:pageBreakBefore/>
      </w:pPr>
      <w:r>
        <w:rPr>
          <w:rFonts w:ascii="Calibri" w:cs="Calibri" w:eastAsia="Calibri" w:hAnsi="Calibri"/>
          <w:b w:val="false"/>
          <w:bCs w:val="false"/>
          <w:i w:val="false"/>
          <w:iCs w:val="false"/>
          <w:color w:val="1A1D22"/>
          <w:sz w:val="17"/>
          <w:szCs w:val="17"/>
        </w:rPr>
        <w:t xml:space="preserve"/>
      </w:r>
    </w:p>
    <w:p>
      <w:pPr>
        <w:pStyle w:val="Heading1"/>
        <w:spacing w:after="120" w:before="320"/>
      </w:pPr>
      <w:r>
        <w:rPr>
          <w:rFonts w:ascii="Calibri" w:cs="Calibri" w:eastAsia="Calibri" w:hAnsi="Calibri"/>
          <w:b/>
          <w:bCs/>
          <w:i w:val="false"/>
          <w:iCs w:val="false"/>
          <w:color w:val="2F5D8C"/>
          <w:sz w:val="26"/>
          <w:szCs w:val="26"/>
        </w:rPr>
        <w:t xml:space="preserve">4.  Analysis methods</w:t>
      </w:r>
    </w:p>
    <w:p>
      <w:pPr>
        <w:spacing w:after="160"/>
      </w:pPr>
      <w:r>
        <w:rPr>
          <w:rFonts w:ascii="Cambria" w:cs="Cambria" w:eastAsia="Cambria" w:hAnsi="Cambria"/>
          <w:b w:val="false"/>
          <w:bCs w:val="false"/>
          <w:i w:val="false"/>
          <w:iCs w:val="false"/>
          <w:color w:val="4A515B"/>
          <w:sz w:val="19"/>
          <w:szCs w:val="19"/>
        </w:rPr>
        <w:t xml:space="preserve">All four promised factor analysis and regression. What they specified underneath that promise is where they separate.</w:t>
      </w:r>
    </w:p>
    <w:tbl>
      <w:tblPr>
        <w:tblW w:type="dxa" w:w="14112"/>
        <w:tblBorders>
          <w:top w:val="single" w:color="C9D1DA" w:sz="4"/>
          <w:left w:val="single" w:color="C9D1DA" w:sz="4"/>
          <w:bottom w:val="single" w:color="C9D1DA" w:sz="4"/>
          <w:right w:val="single" w:color="C9D1DA" w:sz="4"/>
          <w:insideH w:val="single" w:color="auto" w:sz="4"/>
          <w:insideV w:val="single" w:color="auto" w:sz="4"/>
        </w:tblBorders>
      </w:tblPr>
      <w:tblGrid>
        <w:gridCol w:w="2900"/>
        <w:gridCol w:w="2803"/>
        <w:gridCol w:w="2803"/>
        <w:gridCol w:w="2803"/>
        <w:gridCol w:w="2803"/>
      </w:tblGrid>
      <w:tr>
        <w:trPr>
          <w:cantSplit/>
          <w:tblHeader/>
        </w:trPr>
        <w:tc>
          <w:tcPr>
            <w:tcW w:type="dxa" w:w="2900"/>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
            </w:r>
          </w:p>
        </w:tc>
        <w:tc>
          <w:tcPr>
            <w:tcW w:type="dxa" w:w="2803"/>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Gemini Pro</w:t>
            </w:r>
          </w:p>
        </w:tc>
        <w:tc>
          <w:tcPr>
            <w:tcW w:type="dxa" w:w="2803"/>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Copilot</w:t>
            </w:r>
          </w:p>
        </w:tc>
        <w:tc>
          <w:tcPr>
            <w:tcW w:type="dxa" w:w="2803"/>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Luna Medium</w:t>
            </w:r>
          </w:p>
        </w:tc>
        <w:tc>
          <w:tcPr>
            <w:tcW w:type="dxa" w:w="2803"/>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Opus 5</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Extraction method</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Principal component analysis</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Principal axis factoring</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specified</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Principal axis factoring</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Rotation</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30"/>
              <w:jc w:val="left"/>
            </w:pPr>
            <w:r>
              <w:rPr>
                <w:rFonts w:ascii="Calibri" w:cs="Calibri" w:eastAsia="Calibri" w:hAnsi="Calibri"/>
                <w:b w:val="false"/>
                <w:bCs w:val="false"/>
                <w:i w:val="false"/>
                <w:iCs w:val="false"/>
                <w:color w:val="1A1D22"/>
                <w:sz w:val="15"/>
                <w:szCs w:val="15"/>
              </w:rPr>
              <w:t xml:space="preserve">Varimax</w:t>
            </w:r>
          </w:p>
          <w:p>
            <w:pPr>
              <w:spacing w:after="0"/>
              <w:jc w:val="left"/>
            </w:pPr>
            <w:r>
              <w:rPr>
                <w:rFonts w:ascii="Calibri" w:cs="Calibri" w:eastAsia="Calibri" w:hAnsi="Calibri"/>
                <w:b w:val="false"/>
                <w:bCs w:val="false"/>
                <w:i/>
                <w:iCs/>
                <w:color w:val="4A515B"/>
                <w:sz w:val="13"/>
                <w:szCs w:val="13"/>
              </w:rPr>
              <w:t xml:space="preserve">orthogonal</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30"/>
              <w:jc w:val="left"/>
            </w:pPr>
            <w:r>
              <w:rPr>
                <w:rFonts w:ascii="Calibri" w:cs="Calibri" w:eastAsia="Calibri" w:hAnsi="Calibri"/>
                <w:b w:val="false"/>
                <w:bCs w:val="false"/>
                <w:i w:val="false"/>
                <w:iCs w:val="false"/>
                <w:color w:val="1A1D22"/>
                <w:sz w:val="15"/>
                <w:szCs w:val="15"/>
              </w:rPr>
              <w:t xml:space="preserve">Promax</w:t>
            </w:r>
          </w:p>
          <w:p>
            <w:pPr>
              <w:spacing w:after="0"/>
              <w:jc w:val="left"/>
            </w:pPr>
            <w:r>
              <w:rPr>
                <w:rFonts w:ascii="Calibri" w:cs="Calibri" w:eastAsia="Calibri" w:hAnsi="Calibri"/>
                <w:b w:val="false"/>
                <w:bCs w:val="false"/>
                <w:i/>
                <w:iCs/>
                <w:color w:val="4A515B"/>
                <w:sz w:val="13"/>
                <w:szCs w:val="13"/>
              </w:rPr>
              <w:t xml:space="preserve">oblique</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specified</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Promax or oblimin, with varimax explicitly rejected</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How many factors to keep</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stated</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stated</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stated</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Parallel analysis, cross-checked against scree and interpretability; eigenvalue over 1 explicitly rejected</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Factors predicted</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stated</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7, named</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stated</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9 to 13 from 17 constructs, with the expected merges named in advance</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Item retention rules</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Qualitative: drop weak loadings, high cross-loadings, poor conceptual fit</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Numeric: primary loading at or above .40, cross-loadings at least .15 below primary; pre-screen at over 80 percent top-2-box, under 5 percent variance, inter-item r above .85</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Reliability</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Cronbach alpha above .70</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Cronbach alpha plus composite reliability</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Cronbach alpha, or omega preferred</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Alpha at or above .70, or McDonald omega; 3-item factors below .65 demoted to single indicators</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Multicollinearity</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addressed</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addressed</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addressed</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VIF checked, under 5 acceptable, with a named fallback</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Derived importance</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Beta coefficients and p-values</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Not described</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Factor scores or construct averages into regression</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Factor scores into regression, or relative weights and Shapley if betas are unreliable</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Controls named</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2</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30"/>
              <w:jc w:val="left"/>
            </w:pPr>
            <w:r>
              <w:rPr>
                <w:rFonts w:ascii="Calibri" w:cs="Calibri" w:eastAsia="Calibri" w:hAnsi="Calibri"/>
                <w:b w:val="false"/>
                <w:bCs w:val="false"/>
                <w:i w:val="false"/>
                <w:iCs w:val="false"/>
                <w:color w:val="1A1D22"/>
                <w:sz w:val="15"/>
                <w:szCs w:val="15"/>
              </w:rPr>
              <w:t xml:space="preserve">5</w:t>
            </w:r>
          </w:p>
          <w:p>
            <w:pPr>
              <w:spacing w:after="0"/>
              <w:jc w:val="left"/>
            </w:pPr>
            <w:r>
              <w:rPr>
                <w:rFonts w:ascii="Calibri" w:cs="Calibri" w:eastAsia="Calibri" w:hAnsi="Calibri"/>
                <w:b w:val="false"/>
                <w:bCs w:val="false"/>
                <w:i/>
                <w:iCs/>
                <w:color w:val="4A515B"/>
                <w:sz w:val="13"/>
                <w:szCs w:val="13"/>
              </w:rPr>
              <w:t xml:space="preserve">income, education, children, grade, retailers</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30"/>
              <w:jc w:val="left"/>
            </w:pPr>
            <w:r>
              <w:rPr>
                <w:rFonts w:ascii="Calibri" w:cs="Calibri" w:eastAsia="Calibri" w:hAnsi="Calibri"/>
                <w:b w:val="false"/>
                <w:bCs w:val="false"/>
                <w:i w:val="false"/>
                <w:iCs w:val="false"/>
                <w:color w:val="1A1D22"/>
                <w:sz w:val="15"/>
                <w:szCs w:val="15"/>
              </w:rPr>
              <w:t xml:space="preserve">9</w:t>
            </w:r>
          </w:p>
          <w:p>
            <w:pPr>
              <w:spacing w:after="0"/>
              <w:jc w:val="left"/>
            </w:pPr>
            <w:r>
              <w:rPr>
                <w:rFonts w:ascii="Calibri" w:cs="Calibri" w:eastAsia="Calibri" w:hAnsi="Calibri"/>
                <w:b w:val="false"/>
                <w:bCs w:val="false"/>
                <w:i/>
                <w:iCs/>
                <w:color w:val="4A515B"/>
                <w:sz w:val="13"/>
                <w:szCs w:val="13"/>
              </w:rPr>
              <w:t xml:space="preserve">adds school type, spend, planning stage, parent status, involvement</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30"/>
              <w:jc w:val="left"/>
            </w:pPr>
            <w:r>
              <w:rPr>
                <w:rFonts w:ascii="Calibri" w:cs="Calibri" w:eastAsia="Calibri" w:hAnsi="Calibri"/>
                <w:b w:val="false"/>
                <w:bCs w:val="false"/>
                <w:i w:val="false"/>
                <w:iCs w:val="false"/>
                <w:color w:val="1A1D22"/>
                <w:sz w:val="15"/>
                <w:szCs w:val="15"/>
              </w:rPr>
              <w:t xml:space="preserve">5</w:t>
            </w:r>
          </w:p>
          <w:p>
            <w:pPr>
              <w:spacing w:after="0"/>
              <w:jc w:val="left"/>
            </w:pPr>
            <w:r>
              <w:rPr>
                <w:rFonts w:ascii="Calibri" w:cs="Calibri" w:eastAsia="Calibri" w:hAnsi="Calibri"/>
                <w:b w:val="false"/>
                <w:bCs w:val="false"/>
                <w:i/>
                <w:iCs/>
                <w:color w:val="4A515B"/>
                <w:sz w:val="13"/>
                <w:szCs w:val="13"/>
              </w:rPr>
              <w:t xml:space="preserve">income, children, grade band, supply kit availability, whether the list named brands</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Validation</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CFA or a holdout sample if n permits</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DV2 convergent check against the primary DV</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Segmentation</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Named as an expected insight, no method</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Subgroup analysis referenced</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K-means or latent class on factor scores, optional, gated on a clean factor solution</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Data cleaning plan</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Speeders, straight-liners, consistency checks</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Attention check referenced</w:t>
            </w:r>
          </w:p>
        </w:tc>
        <w:tc>
          <w:tcPr>
            <w:tcW w:type="dxa" w:w="2803"/>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Speeders under 40 percent of median LOI, zero-SD straightliners, failed QC1, contradictory QC2r; expects to lose 8 to 15 percent</w:t>
            </w:r>
          </w:p>
        </w:tc>
      </w:tr>
      <w:tr>
        <w:trPr>
          <w:cantSplit/>
        </w:trPr>
        <w:tc>
          <w:tcPr>
            <w:tcW w:type="dxa" w:w="2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6"/>
                <w:szCs w:val="16"/>
              </w:rPr>
              <w:t xml:space="preserve">Result benchmark</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w:t>
            </w:r>
          </w:p>
        </w:tc>
        <w:tc>
          <w:tcPr>
            <w:tcW w:type="dxa" w:w="2803"/>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R-squared of .35 to .50 is good; above .60 suspect a predictor is restating the DV</w:t>
            </w:r>
          </w:p>
        </w:tc>
      </w:tr>
    </w:tbl>
    <w:p>
      <w:pPr>
        <w:pageBreakBefore/>
      </w:pPr>
      <w:r>
        <w:rPr>
          <w:rFonts w:ascii="Calibri" w:cs="Calibri" w:eastAsia="Calibri" w:hAnsi="Calibri"/>
          <w:b w:val="false"/>
          <w:bCs w:val="false"/>
          <w:i w:val="false"/>
          <w:iCs w:val="false"/>
          <w:color w:val="1A1D22"/>
          <w:sz w:val="17"/>
          <w:szCs w:val="17"/>
        </w:rPr>
        <w:t xml:space="preserve"/>
      </w:r>
    </w:p>
    <w:p>
      <w:pPr>
        <w:pStyle w:val="Heading1"/>
        <w:spacing w:after="120" w:before="320"/>
      </w:pPr>
      <w:r>
        <w:rPr>
          <w:rFonts w:ascii="Calibri" w:cs="Calibri" w:eastAsia="Calibri" w:hAnsi="Calibri"/>
          <w:b/>
          <w:bCs/>
          <w:i w:val="false"/>
          <w:iCs w:val="false"/>
          <w:color w:val="2F5D8C"/>
          <w:sz w:val="26"/>
          <w:szCs w:val="26"/>
        </w:rPr>
        <w:t xml:space="preserve">5.  Regression types</w:t>
      </w:r>
    </w:p>
    <w:p>
      <w:pPr>
        <w:spacing w:after="160"/>
      </w:pPr>
      <w:r>
        <w:rPr>
          <w:rFonts w:ascii="Cambria" w:cs="Cambria" w:eastAsia="Cambria" w:hAnsi="Cambria"/>
          <w:b w:val="false"/>
          <w:bCs w:val="false"/>
          <w:i w:val="false"/>
          <w:iCs w:val="false"/>
          <w:color w:val="4A515B"/>
          <w:sz w:val="19"/>
          <w:szCs w:val="19"/>
        </w:rPr>
        <w:t xml:space="preserve">Four models, four different answers to the same modeling question. One never names a technique at all, and one names four.</w:t>
      </w:r>
    </w:p>
    <w:tbl>
      <w:tblPr>
        <w:tblW w:type="dxa" w:w="14112"/>
        <w:tblBorders>
          <w:top w:val="single" w:color="C9D1DA" w:sz="4"/>
          <w:left w:val="single" w:color="C9D1DA" w:sz="4"/>
          <w:bottom w:val="single" w:color="C9D1DA" w:sz="4"/>
          <w:right w:val="single" w:color="C9D1DA" w:sz="4"/>
          <w:insideH w:val="single" w:color="auto" w:sz="4"/>
          <w:insideV w:val="single" w:color="auto" w:sz="4"/>
        </w:tblBorders>
      </w:tblPr>
      <w:tblGrid>
        <w:gridCol w:w="1900"/>
        <w:gridCol w:w="4100"/>
        <w:gridCol w:w="4100"/>
        <w:gridCol w:w="4012"/>
      </w:tblGrid>
      <w:tr>
        <w:trPr>
          <w:cantSplit/>
          <w:tblHeader/>
        </w:trPr>
        <w:tc>
          <w:tcPr>
            <w:tcW w:type="dxa" w:w="1900"/>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Model</w:t>
            </w:r>
          </w:p>
        </w:tc>
        <w:tc>
          <w:tcPr>
            <w:tcW w:type="dxa" w:w="4100"/>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Technique named</w:t>
            </w:r>
          </w:p>
        </w:tc>
        <w:tc>
          <w:tcPr>
            <w:tcW w:type="dxa" w:w="4100"/>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How it is applied</w:t>
            </w:r>
          </w:p>
        </w:tc>
        <w:tc>
          <w:tcPr>
            <w:tcW w:type="dxa" w:w="4012"/>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Match to the DV scale</w:t>
            </w:r>
          </w:p>
        </w:tc>
      </w:tr>
      <w:tr>
        <w:trPr>
          <w:cantSplit/>
        </w:trPr>
        <w:tc>
          <w:tcPr>
            <w:tcW w:type="dxa" w:w="1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8A5E18"/>
                <w:sz w:val="16"/>
                <w:szCs w:val="16"/>
              </w:rPr>
              <w:t xml:space="preserve">Gemini Pro</w:t>
            </w:r>
          </w:p>
        </w:tc>
        <w:tc>
          <w:tcPr>
            <w:tcW w:type="dxa" w:w="41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Multiple linear regression, OLS. The equation is written out with named beta terms.</w:t>
            </w:r>
          </w:p>
        </w:tc>
        <w:tc>
          <w:tcPr>
            <w:tcW w:type="dxa" w:w="41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Run four separate times, once per product category measured in the DV grid.</w:t>
            </w:r>
          </w:p>
        </w:tc>
        <w:tc>
          <w:tcPr>
            <w:tcW w:type="dxa" w:w="4012"/>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Weak. Treats a 1 to 7 ordinal preference rating as continuous without saying so, and four models on an unstated sample size is a power problem.</w:t>
            </w:r>
          </w:p>
        </w:tc>
      </w:tr>
      <w:tr>
        <w:trPr>
          <w:cantSplit/>
        </w:trPr>
        <w:tc>
          <w:tcPr>
            <w:tcW w:type="dxa" w:w="1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F6159"/>
                <w:sz w:val="16"/>
                <w:szCs w:val="16"/>
              </w:rPr>
              <w:t xml:space="preserve">Copilot</w:t>
            </w:r>
          </w:p>
        </w:tc>
        <w:tc>
          <w:tcPr>
            <w:tcW w:type="dxa" w:w="41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None. The plan lists a DV, nine IVs and five controls, then stops.</w:t>
            </w:r>
          </w:p>
        </w:tc>
        <w:tc>
          <w:tcPr>
            <w:tcW w:type="dxa" w:w="41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One model.</w:t>
            </w:r>
          </w:p>
        </w:tc>
        <w:tc>
          <w:tcPr>
            <w:tcW w:type="dxa" w:w="4012"/>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Unknowable. A reader has to assume OLS.</w:t>
            </w:r>
          </w:p>
        </w:tc>
      </w:tr>
      <w:tr>
        <w:trPr>
          <w:cantSplit/>
        </w:trPr>
        <w:tc>
          <w:tcPr>
            <w:tcW w:type="dxa" w:w="1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5A4B7D"/>
                <w:sz w:val="16"/>
                <w:szCs w:val="16"/>
              </w:rPr>
              <w:t xml:space="preserve">Luna Medium</w:t>
            </w:r>
          </w:p>
        </w:tc>
        <w:tc>
          <w:tcPr>
            <w:tcW w:type="dxa" w:w="41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Four techniques: OLS, ordered logistic, binary logistic, multilevel logistic.</w:t>
            </w:r>
          </w:p>
        </w:tc>
        <w:tc>
          <w:tcPr>
            <w:tcW w:type="dxa" w:w="41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OLS on the 1 to 7 index, ordered logistic as a robustness check, binary logistic for category-level choices, multilevel logistic when one respondent rates several categories.</w:t>
            </w:r>
          </w:p>
        </w:tc>
        <w:tc>
          <w:tcPr>
            <w:tcW w:type="dxa" w:w="4012"/>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Strong. The only model that notices the category module produces nested data and matches a technique to it.</w:t>
            </w:r>
          </w:p>
        </w:tc>
      </w:tr>
      <w:tr>
        <w:trPr>
          <w:cantSplit/>
        </w:trPr>
        <w:tc>
          <w:tcPr>
            <w:tcW w:type="dxa" w:w="1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2F5D8C"/>
                <w:sz w:val="16"/>
                <w:szCs w:val="16"/>
              </w:rPr>
              <w:t xml:space="preserve">Opus 5</w:t>
            </w:r>
          </w:p>
        </w:tc>
        <w:tc>
          <w:tcPr>
            <w:tcW w:type="dxa" w:w="41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OLS on factor scores, with relative weights analysis (Johnson) or Shapley value regression as the named fallback.</w:t>
            </w:r>
          </w:p>
        </w:tc>
        <w:tc>
          <w:tcPr>
            <w:tcW w:type="dxa" w:w="41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One primary model, plus a decision rule: switch to relative weights or Shapley if VIF trips.</w:t>
            </w:r>
          </w:p>
        </w:tc>
        <w:tc>
          <w:tcPr>
            <w:tcW w:type="dxa" w:w="4012"/>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Strong. The 8 to 40 summed composite is genuinely continuous, which is the point of building the DV that way.</w:t>
            </w:r>
          </w:p>
        </w:tc>
      </w:tr>
    </w:tbl>
    <w:p>
      <w:pPr>
        <w:spacing w:before="160"/>
      </w:pPr>
    </w:p>
    <w:tbl>
      <w:tblPr>
        <w:tblW w:type="dxa" w:w="14112"/>
        <w:tblBorders>
          <w:top w:val="single" w:color="C9D1DA" w:sz="4"/>
          <w:left w:val="single" w:color="C9D1DA" w:sz="4"/>
          <w:bottom w:val="single" w:color="C9D1DA" w:sz="4"/>
          <w:right w:val="single" w:color="C9D1DA" w:sz="4"/>
          <w:insideH w:val="single" w:color="auto" w:sz="4"/>
          <w:insideV w:val="single" w:color="auto" w:sz="4"/>
        </w:tblBorders>
      </w:tblPr>
      <w:tblGrid>
        <w:gridCol w:w="14112"/>
      </w:tblGrid>
      <w:tr>
        <w:trPr>
          <w:cantSplit/>
        </w:trPr>
        <w:tc>
          <w:tcPr>
            <w:tcW w:type="dxa" w:w="14112"/>
            <w:tcBorders>
              <w:top w:val="single" w:color="DCC79A" w:sz="4"/>
              <w:left w:val="single" w:color="B8923F" w:sz="18"/>
              <w:bottom w:val="single" w:color="DCC79A" w:sz="4"/>
              <w:right w:val="single" w:color="DCC79A" w:sz="4"/>
            </w:tcBorders>
            <w:shd w:fill="FBF5E9" w:color="auto" w:val="clear"/>
            <w:tcMar>
              <w:top w:type="dxa" w:w="130"/>
              <w:left w:type="dxa" w:w="180"/>
              <w:bottom w:type="dxa" w:w="130"/>
              <w:right w:type="dxa" w:w="180"/>
            </w:tcMar>
          </w:tcPr>
          <w:p>
            <w:pPr>
              <w:spacing w:after="90"/>
            </w:pPr>
            <w:r>
              <w:rPr>
                <w:rFonts w:ascii="Cambria" w:cs="Cambria" w:eastAsia="Cambria" w:hAnsi="Cambria"/>
                <w:b/>
                <w:bCs/>
                <w:i w:val="false"/>
                <w:iCs w:val="false"/>
                <w:color w:val="1A1D22"/>
                <w:sz w:val="18"/>
                <w:szCs w:val="18"/>
              </w:rPr>
              <w:t xml:space="preserve">The four studies do not share a regression approach, and the differences are not cosmetic. </w:t>
            </w:r>
            <w:r>
              <w:rPr>
                <w:rFonts w:ascii="Cambria" w:cs="Cambria" w:eastAsia="Cambria" w:hAnsi="Cambria"/>
                <w:b w:val="false"/>
                <w:bCs w:val="false"/>
                <w:i w:val="false"/>
                <w:iCs w:val="false"/>
                <w:color w:val="1A1D22"/>
                <w:sz w:val="18"/>
                <w:szCs w:val="18"/>
              </w:rPr>
              <w:t xml:space="preserve">Gemini multiplies models by category. Luna multiplies techniques by outcome type. Opus 5 keeps one model and swaps the importance estimator when the assumptions fail. Copilot does not commit.</w:t>
            </w:r>
          </w:p>
          <w:p>
            <w:pPr>
              <w:spacing w:after="0"/>
            </w:pPr>
            <w:r>
              <w:rPr>
                <w:rFonts w:ascii="Cambria" w:cs="Cambria" w:eastAsia="Cambria" w:hAnsi="Cambria"/>
                <w:b/>
                <w:bCs/>
                <w:i w:val="false"/>
                <w:iCs w:val="false"/>
                <w:color w:val="1A1D22"/>
                <w:sz w:val="18"/>
                <w:szCs w:val="18"/>
              </w:rPr>
              <w:t xml:space="preserve">Only Opus 5 offers a true derived-importance alternative to raw betas. </w:t>
            </w:r>
            <w:r>
              <w:rPr>
                <w:rFonts w:ascii="Cambria" w:cs="Cambria" w:eastAsia="Cambria" w:hAnsi="Cambria"/>
                <w:b w:val="false"/>
                <w:bCs w:val="false"/>
                <w:i w:val="false"/>
                <w:iCs w:val="false"/>
                <w:color w:val="1A1D22"/>
                <w:sz w:val="18"/>
                <w:szCs w:val="18"/>
              </w:rPr>
              <w:t xml:space="preserve">Relative weights and Shapley both handle correlated predictors and produce importance scores that sum to R-squared, which is the format most clients actually read.</w:t>
            </w:r>
          </w:p>
        </w:tc>
      </w:tr>
    </w:tbl>
    <w:p>
      <w:pPr>
        <w:pStyle w:val="Heading1"/>
        <w:spacing w:after="120" w:before="320"/>
      </w:pPr>
      <w:r>
        <w:rPr>
          <w:rFonts w:ascii="Calibri" w:cs="Calibri" w:eastAsia="Calibri" w:hAnsi="Calibri"/>
          <w:b/>
          <w:bCs/>
          <w:i w:val="false"/>
          <w:iCs w:val="false"/>
          <w:color w:val="2F5D8C"/>
          <w:sz w:val="26"/>
          <w:szCs w:val="26"/>
        </w:rPr>
        <w:t xml:space="preserve">6.  Length of interview</w:t>
      </w:r>
    </w:p>
    <w:p>
      <w:pPr>
        <w:spacing w:after="160"/>
      </w:pPr>
      <w:r>
        <w:rPr>
          <w:rFonts w:ascii="Cambria" w:cs="Cambria" w:eastAsia="Cambria" w:hAnsi="Cambria"/>
          <w:b w:val="false"/>
          <w:bCs w:val="false"/>
          <w:i w:val="false"/>
          <w:iCs w:val="false"/>
          <w:color w:val="4A515B"/>
          <w:sz w:val="19"/>
          <w:szCs w:val="19"/>
        </w:rPr>
        <w:t xml:space="preserve">All four were asked for 15 minutes. Three gave a range and left it there. One did the arithmetic.</w:t>
      </w:r>
    </w:p>
    <w:tbl>
      <w:tblPr>
        <w:tblW w:type="dxa" w:w="14112"/>
        <w:tblBorders>
          <w:top w:val="single" w:color="C9D1DA" w:sz="4"/>
          <w:left w:val="single" w:color="C9D1DA" w:sz="4"/>
          <w:bottom w:val="single" w:color="C9D1DA" w:sz="4"/>
          <w:right w:val="single" w:color="C9D1DA" w:sz="4"/>
          <w:insideH w:val="single" w:color="auto" w:sz="4"/>
          <w:insideV w:val="single" w:color="auto" w:sz="4"/>
        </w:tblBorders>
      </w:tblPr>
      <w:tblGrid>
        <w:gridCol w:w="1900"/>
        <w:gridCol w:w="1700"/>
        <w:gridCol w:w="5300"/>
        <w:gridCol w:w="5212"/>
      </w:tblGrid>
      <w:tr>
        <w:trPr>
          <w:cantSplit/>
          <w:tblHeader/>
        </w:trPr>
        <w:tc>
          <w:tcPr>
            <w:tcW w:type="dxa" w:w="1900"/>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Model</w:t>
            </w:r>
          </w:p>
        </w:tc>
        <w:tc>
          <w:tcPr>
            <w:tcW w:type="dxa" w:w="1700"/>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Estimate</w:t>
            </w:r>
          </w:p>
        </w:tc>
        <w:tc>
          <w:tcPr>
            <w:tcW w:type="dxa" w:w="5300"/>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Broken out by section</w:t>
            </w:r>
          </w:p>
        </w:tc>
        <w:tc>
          <w:tcPr>
            <w:tcW w:type="dxa" w:w="5212"/>
            <w:gridSpan w:val="1"/>
            <w:tcBorders>
              <w:top w:val="single" w:color="C9D1DA" w:sz="4"/>
              <w:left w:val="single" w:color="C9D1DA" w:sz="4"/>
              <w:bottom w:val="single" w:color="C9D1DA" w:sz="4"/>
              <w:right w:val="single" w:color="C9D1DA" w:sz="4"/>
            </w:tcBorders>
            <w:shd w:fill="2F5D8C"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FFFFFF"/>
                <w:sz w:val="16"/>
                <w:szCs w:val="16"/>
              </w:rPr>
              <w:t xml:space="preserve">Plausibility against its own battery</w:t>
            </w:r>
          </w:p>
        </w:tc>
      </w:tr>
      <w:tr>
        <w:trPr>
          <w:cantSplit/>
        </w:trPr>
        <w:tc>
          <w:tcPr>
            <w:tcW w:type="dxa" w:w="1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8A5E18"/>
                <w:sz w:val="16"/>
                <w:szCs w:val="16"/>
              </w:rPr>
              <w:t xml:space="preserve">Gemini Pro</w:t>
            </w:r>
          </w:p>
        </w:tc>
        <w:tc>
          <w:tcPr>
            <w:tcW w:type="dxa" w:w="17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5"/>
                <w:szCs w:val="15"/>
              </w:rPr>
              <w:t xml:space="preserve">10 to 15 min</w:t>
            </w:r>
          </w:p>
        </w:tc>
        <w:tc>
          <w:tcPr>
            <w:tcW w:type="dxa" w:w="53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w:t>
            </w:r>
          </w:p>
        </w:tc>
        <w:tc>
          <w:tcPr>
            <w:tcW w:type="dxa" w:w="5212"/>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Overstated. At 24 questions and 2 demographics this is a 6 to 8 minute survey.</w:t>
            </w:r>
          </w:p>
        </w:tc>
      </w:tr>
      <w:tr>
        <w:trPr>
          <w:cantSplit/>
        </w:trPr>
        <w:tc>
          <w:tcPr>
            <w:tcW w:type="dxa" w:w="1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F6159"/>
                <w:sz w:val="16"/>
                <w:szCs w:val="16"/>
              </w:rPr>
              <w:t xml:space="preserve">Copilot</w:t>
            </w:r>
          </w:p>
        </w:tc>
        <w:tc>
          <w:tcPr>
            <w:tcW w:type="dxa" w:w="17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5"/>
                <w:szCs w:val="15"/>
              </w:rPr>
              <w:t xml:space="preserve">12 to 15 min</w:t>
            </w:r>
          </w:p>
        </w:tc>
        <w:tc>
          <w:tcPr>
            <w:tcW w:type="dxa" w:w="53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No</w:t>
            </w:r>
          </w:p>
        </w:tc>
        <w:tc>
          <w:tcPr>
            <w:tcW w:type="dxa" w:w="5212"/>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Reasonable. 48 battery items plus a 5-item DV, behavior, category ratings and 8 demographics lands in range.</w:t>
            </w:r>
          </w:p>
        </w:tc>
      </w:tr>
      <w:tr>
        <w:trPr>
          <w:cantSplit/>
        </w:trPr>
        <w:tc>
          <w:tcPr>
            <w:tcW w:type="dxa" w:w="1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5A4B7D"/>
                <w:sz w:val="16"/>
                <w:szCs w:val="16"/>
              </w:rPr>
              <w:t xml:space="preserve">Luna Medium</w:t>
            </w:r>
          </w:p>
        </w:tc>
        <w:tc>
          <w:tcPr>
            <w:tcW w:type="dxa" w:w="17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5"/>
                <w:szCs w:val="15"/>
              </w:rPr>
              <w:t xml:space="preserve">15 min</w:t>
            </w:r>
          </w:p>
        </w:tc>
        <w:tc>
          <w:tcPr>
            <w:tcW w:type="dxa" w:w="5300"/>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Yes, but in the opening answer rather than the final study: screening 1 to 2, behavior 2, drivers 7 to 8, intent 2, demographics 2</w:t>
            </w:r>
          </w:p>
        </w:tc>
        <w:tc>
          <w:tcPr>
            <w:tcW w:type="dxa" w:w="5212"/>
            <w:gridSpan w:val="1"/>
            <w:tcBorders>
              <w:top w:val="single" w:color="C9D1DA" w:sz="4"/>
              <w:left w:val="single" w:color="C9D1DA" w:sz="4"/>
              <w:bottom w:val="single" w:color="C9D1DA" w:sz="4"/>
              <w:right w:val="single" w:color="C9D1DA" w:sz="4"/>
            </w:tcBorders>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Tight. 60 battery items in 7 to 8 minutes is about 7 seconds per item, plus three additional modules the early estimate did not account for.</w:t>
            </w:r>
          </w:p>
        </w:tc>
      </w:tr>
      <w:tr>
        <w:trPr>
          <w:cantSplit/>
        </w:trPr>
        <w:tc>
          <w:tcPr>
            <w:tcW w:type="dxa" w:w="1900"/>
            <w:gridSpan w:val="1"/>
            <w:tcBorders>
              <w:top w:val="single" w:color="C9D1DA" w:sz="4"/>
              <w:left w:val="single" w:color="C9D1DA" w:sz="4"/>
              <w:bottom w:val="single" w:color="C9D1DA" w:sz="4"/>
              <w:right w:val="single" w:color="C9D1DA" w:sz="4"/>
            </w:tcBorders>
            <w:shd w:fill="EEF1F5"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2F5D8C"/>
                <w:sz w:val="16"/>
                <w:szCs w:val="16"/>
              </w:rPr>
              <w:t xml:space="preserve">Opus 5</w:t>
            </w:r>
          </w:p>
        </w:tc>
        <w:tc>
          <w:tcPr>
            <w:tcW w:type="dxa" w:w="17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bCs/>
                <w:i w:val="false"/>
                <w:iCs w:val="false"/>
                <w:color w:val="1A1D22"/>
                <w:sz w:val="15"/>
                <w:szCs w:val="15"/>
              </w:rPr>
              <w:t xml:space="preserve">14.0 min</w:t>
            </w:r>
          </w:p>
        </w:tc>
        <w:tc>
          <w:tcPr>
            <w:tcW w:type="dxa" w:w="5300"/>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Yes: screener 1.5, context 2.5, battery 6.0, DV 2.0, demographics 2.0</w:t>
            </w:r>
          </w:p>
        </w:tc>
        <w:tc>
          <w:tcPr>
            <w:tcW w:type="dxa" w:w="5212"/>
            <w:gridSpan w:val="1"/>
            <w:tcBorders>
              <w:top w:val="single" w:color="C9D1DA" w:sz="4"/>
              <w:left w:val="single" w:color="C9D1DA" w:sz="4"/>
              <w:bottom w:val="single" w:color="C9D1DA" w:sz="4"/>
              <w:right w:val="single" w:color="C9D1DA" w:sz="4"/>
            </w:tcBorders>
            <w:shd w:fill="F7F9FB" w:color="auto" w:val="clear"/>
            <w:tcMar>
              <w:top w:type="dxa" w:w="42"/>
              <w:left w:type="dxa" w:w="85"/>
              <w:bottom w:type="dxa" w:w="42"/>
              <w:right w:type="dxa" w:w="85"/>
            </w:tcMar>
            <w:vAlign w:val="top"/>
          </w:tcPr>
          <w:p>
            <w:pPr>
              <w:spacing w:after="0"/>
              <w:jc w:val="left"/>
            </w:pPr>
            <w:r>
              <w:rPr>
                <w:rFonts w:ascii="Calibri" w:cs="Calibri" w:eastAsia="Calibri" w:hAnsi="Calibri"/>
                <w:b w:val="false"/>
                <w:bCs w:val="false"/>
                <w:i w:val="false"/>
                <w:iCs w:val="false"/>
                <w:color w:val="1A1D22"/>
                <w:sz w:val="15"/>
                <w:szCs w:val="15"/>
              </w:rPr>
              <w:t xml:space="preserve">Honest about the squeeze. Leaves about a minute of headroom and names the cut order if soft launch runs long.</w:t>
            </w:r>
          </w:p>
        </w:tc>
      </w:tr>
    </w:tbl>
    <w:p>
      <w:pPr>
        <w:pageBreakBefore/>
      </w:pPr>
      <w:r>
        <w:rPr>
          <w:rFonts w:ascii="Calibri" w:cs="Calibri" w:eastAsia="Calibri" w:hAnsi="Calibri"/>
          <w:b w:val="false"/>
          <w:bCs w:val="false"/>
          <w:i w:val="false"/>
          <w:iCs w:val="false"/>
          <w:color w:val="1A1D22"/>
          <w:sz w:val="17"/>
          <w:szCs w:val="17"/>
        </w:rPr>
        <w:t xml:space="preserve"/>
      </w:r>
    </w:p>
    <w:p>
      <w:pPr>
        <w:pStyle w:val="Heading1"/>
        <w:spacing w:after="120" w:before="320"/>
      </w:pPr>
      <w:r>
        <w:rPr>
          <w:rFonts w:ascii="Calibri" w:cs="Calibri" w:eastAsia="Calibri" w:hAnsi="Calibri"/>
          <w:b/>
          <w:bCs/>
          <w:i w:val="false"/>
          <w:iCs w:val="false"/>
          <w:color w:val="2F5D8C"/>
          <w:sz w:val="26"/>
          <w:szCs w:val="26"/>
        </w:rPr>
        <w:t xml:space="preserve">7.  Reading notes</w:t>
      </w:r>
    </w:p>
    <w:p>
      <w:pPr>
        <w:pStyle w:val="ListParagraph"/>
        <w:numPr>
          <w:ilvl w:val="0"/>
          <w:numId w:val="1"/>
        </w:numPr>
        <w:spacing w:after="130"/>
      </w:pPr>
      <w:r>
        <w:rPr>
          <w:rFonts w:ascii="Cambria" w:cs="Cambria" w:eastAsia="Cambria" w:hAnsi="Cambria"/>
          <w:b/>
          <w:bCs/>
          <w:i w:val="false"/>
          <w:iCs w:val="false"/>
          <w:color w:val="1A1D22"/>
          <w:sz w:val="19"/>
          <w:szCs w:val="19"/>
        </w:rPr>
        <w:t xml:space="preserve">Prompt paths were not identical. </w:t>
      </w:r>
      <w:r>
        <w:rPr>
          <w:rFonts w:ascii="Cambria" w:cs="Cambria" w:eastAsia="Cambria" w:hAnsi="Cambria"/>
          <w:b w:val="false"/>
          <w:bCs w:val="false"/>
          <w:i w:val="false"/>
          <w:iCs w:val="false"/>
          <w:color w:val="1A1D22"/>
          <w:sz w:val="19"/>
          <w:szCs w:val="19"/>
        </w:rPr>
        <w:t xml:space="preserve">Copilot, Luna and Opus 5 all received the brand-versus-private-label pivot and rewrote accordingly. Gemini received it as a mid-stream instruction and was then asked twice to write the full survey, producing two near-identical drafts. Treat construct counts as a signal about the model, not a controlled measurement.</w:t>
      </w:r>
    </w:p>
    <w:p>
      <w:pPr>
        <w:pStyle w:val="ListParagraph"/>
        <w:numPr>
          <w:ilvl w:val="0"/>
          <w:numId w:val="1"/>
        </w:numPr>
        <w:spacing w:after="130"/>
      </w:pPr>
      <w:r>
        <w:rPr>
          <w:rFonts w:ascii="Cambria" w:cs="Cambria" w:eastAsia="Cambria" w:hAnsi="Cambria"/>
          <w:b/>
          <w:bCs/>
          <w:i w:val="false"/>
          <w:iCs w:val="false"/>
          <w:color w:val="1A1D22"/>
          <w:sz w:val="19"/>
          <w:szCs w:val="19"/>
        </w:rPr>
        <w:t xml:space="preserve">Opus 5 has an internal count discrepancy. </w:t>
      </w:r>
      <w:r>
        <w:rPr>
          <w:rFonts w:ascii="Cambria" w:cs="Cambria" w:eastAsia="Cambria" w:hAnsi="Cambria"/>
          <w:b w:val="false"/>
          <w:bCs w:val="false"/>
          <w:i w:val="false"/>
          <w:iCs w:val="false"/>
          <w:color w:val="1A1D22"/>
          <w:sz w:val="19"/>
          <w:szCs w:val="19"/>
        </w:rPr>
        <w:t xml:space="preserve">It states 58 battery items, its LOI table says 60, and the listed items total 57. Reconcile before programming.</w:t>
      </w:r>
    </w:p>
    <w:p>
      <w:pPr>
        <w:pStyle w:val="ListParagraph"/>
        <w:numPr>
          <w:ilvl w:val="0"/>
          <w:numId w:val="1"/>
        </w:numPr>
        <w:spacing w:after="130"/>
      </w:pPr>
      <w:r>
        <w:rPr>
          <w:rFonts w:ascii="Cambria" w:cs="Cambria" w:eastAsia="Cambria" w:hAnsi="Cambria"/>
          <w:b/>
          <w:bCs/>
          <w:i w:val="false"/>
          <w:iCs w:val="false"/>
          <w:color w:val="1A1D22"/>
          <w:sz w:val="19"/>
          <w:szCs w:val="19"/>
        </w:rPr>
        <w:t xml:space="preserve">Gemini gives no sample size. </w:t>
      </w:r>
      <w:r>
        <w:rPr>
          <w:rFonts w:ascii="Cambria" w:cs="Cambria" w:eastAsia="Cambria" w:hAnsi="Cambria"/>
          <w:b w:val="false"/>
          <w:bCs w:val="false"/>
          <w:i w:val="false"/>
          <w:iCs w:val="false"/>
          <w:color w:val="1A1D22"/>
          <w:sz w:val="19"/>
          <w:szCs w:val="19"/>
        </w:rPr>
        <w:t xml:space="preserve">It is the only one of the four that never states an n, which matters more than usual because it plans four separate regressions.</w:t>
      </w:r>
    </w:p>
    <w:p>
      <w:pPr>
        <w:pStyle w:val="ListParagraph"/>
        <w:numPr>
          <w:ilvl w:val="0"/>
          <w:numId w:val="1"/>
        </w:numPr>
        <w:spacing w:after="130"/>
      </w:pPr>
      <w:r>
        <w:rPr>
          <w:rFonts w:ascii="Cambria" w:cs="Cambria" w:eastAsia="Cambria" w:hAnsi="Cambria"/>
          <w:b/>
          <w:bCs/>
          <w:i w:val="false"/>
          <w:iCs w:val="false"/>
          <w:color w:val="1A1D22"/>
          <w:sz w:val="19"/>
          <w:szCs w:val="19"/>
        </w:rPr>
        <w:t xml:space="preserve">Only Opus 5 rejects a predictor on tautology grounds. </w:t>
      </w:r>
      <w:r>
        <w:rPr>
          <w:rFonts w:ascii="Cambria" w:cs="Cambria" w:eastAsia="Cambria" w:hAnsi="Cambria"/>
          <w:b w:val="false"/>
          <w:bCs w:val="false"/>
          <w:i w:val="false"/>
          <w:iCs w:val="false"/>
          <w:color w:val="1A1D22"/>
          <w:sz w:val="19"/>
          <w:szCs w:val="19"/>
        </w:rPr>
        <w:t xml:space="preserve">It drops private label acceptance from the model because items like "store brands are just as good" are the dependent variable in different clothing, and moves the measure to a descriptive question after the DV.</w:t>
      </w:r>
    </w:p>
    <w:p>
      <w:pPr>
        <w:pStyle w:val="ListParagraph"/>
        <w:numPr>
          <w:ilvl w:val="0"/>
          <w:numId w:val="1"/>
        </w:numPr>
        <w:spacing w:after="130"/>
      </w:pPr>
      <w:r>
        <w:rPr>
          <w:rFonts w:ascii="Cambria" w:cs="Cambria" w:eastAsia="Cambria" w:hAnsi="Cambria"/>
          <w:b/>
          <w:bCs/>
          <w:i w:val="false"/>
          <w:iCs w:val="false"/>
          <w:color w:val="1A1D22"/>
          <w:sz w:val="19"/>
          <w:szCs w:val="19"/>
        </w:rPr>
        <w:t xml:space="preserve">An earlier Opus 5 export was a duplicate. </w:t>
      </w:r>
      <w:r>
        <w:rPr>
          <w:rFonts w:ascii="Cambria" w:cs="Cambria" w:eastAsia="Cambria" w:hAnsi="Cambria"/>
          <w:b w:val="false"/>
          <w:bCs w:val="false"/>
          <w:i w:val="false"/>
          <w:iCs w:val="false"/>
          <w:color w:val="1A1D22"/>
          <w:sz w:val="19"/>
          <w:szCs w:val="19"/>
        </w:rPr>
        <w:t xml:space="preserve">The first file supplied under that name was a condensed summary of the Luna Medium conversation, not a separate study. This comparison uses the September 15 transcript, which is a distinct three-turn conversation with its own instrument.</w:t>
      </w:r>
    </w:p>
    <w:p>
      <w:pPr>
        <w:spacing w:before="260"/>
      </w:pPr>
      <w:r>
        <w:rPr>
          <w:rFonts w:ascii="Calibri" w:cs="Calibri" w:eastAsia="Calibri" w:hAnsi="Calibri"/>
          <w:b w:val="false"/>
          <w:bCs w:val="false"/>
          <w:i/>
          <w:iCs/>
          <w:color w:val="4A515B"/>
          <w:sz w:val="15"/>
          <w:szCs w:val="15"/>
        </w:rPr>
        <w:t xml:space="preserve">Built from four conversation exports covering the same back-to-school premium versus private label brief. Construct and item counts verified against each final instrument.</w:t>
      </w:r>
    </w:p>
    <w:sectPr>
      <w:footerReference w:type="default" r:id="rId7"/>
      <w:pgSz w:w="15840" w:h="12240" w:orient="landscape"/>
      <w:pgMar w:top="864" w:right="864" w:bottom="864" w:left="86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b w:val="false"/>
        <w:bCs w:val="false"/>
        <w:i w:val="false"/>
        <w:iCs w:val="false"/>
        <w:color w:val="4A515B"/>
        <w:sz w:val="15"/>
        <w:szCs w:val="15"/>
      </w:rPr>
      <w:t xml:space="preserve">Four models, one back-to-school driver brief    </w:t>
    </w:r>
    <w:r>
      <w:rPr>
        <w:rFonts w:ascii="Calibri" w:cs="Calibri" w:eastAsia="Calibri" w:hAnsi="Calibri"/>
        <w:b/>
        <w:bCs/>
        <w:color w:val="4A515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D22"/>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Four models, one back-to-school driver brief</dc:title>
  <dc:creator>Z Johnson</dc:creator>
  <dc:description>Side-by-side comparison of four AI-generated survey designs</dc:description>
  <cp:lastModifiedBy>Un-named</cp:lastModifiedBy>
  <cp:revision>1</cp:revision>
  <dcterms:created xsi:type="dcterms:W3CDTF">2026-09-15T21:18:33.080Z</dcterms:created>
  <dcterms:modified xsi:type="dcterms:W3CDTF">2026-09-15T21:18:33.081Z</dcterms:modified>
</cp:coreProperties>
</file>

<file path=docProps/custom.xml><?xml version="1.0" encoding="utf-8"?>
<Properties xmlns="http://schemas.openxmlformats.org/officeDocument/2006/custom-properties" xmlns:vt="http://schemas.openxmlformats.org/officeDocument/2006/docPropsVTypes"/>
</file>